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CE0A653" w:rsidR="005A7127" w:rsidRPr="00FC3F8A" w:rsidRDefault="00973869" w:rsidP="00973869">
      <w:hyperlink r:id="rId7" w:history="1">
        <w:r w:rsidRPr="00EE706E">
          <w:rPr>
            <w:rStyle w:val="Collegamentoipertestuale"/>
          </w:rPr>
          <w:t>https://it.marketscreener.com/quotazioni/cryptocurrency/BITCOIN-BTC-USD-45553945/attualita/Crypto-Panetta-da-ruolo-big-tech-rischi-su-funzioni-banche-commerciali-49071441/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quotazioni/cryptocurrency/BITCOIN-BTC-USD-45553945/attualita/Crypto-Panetta-da-ruolo-big-tech-rischi-su-funzioni-banche-commerciali-4907144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2025-02-24T13:14:00Z</dcterms:created>
  <dcterms:modified xsi:type="dcterms:W3CDTF">2025-02-24T13:16:00Z</dcterms:modified>
</cp:coreProperties>
</file>